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浙江艺术职业学院消防设施设备维保的函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各供应商：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根据相关法律法规规定，现就浙江艺术职业学院设施设备维保项目</w:t>
      </w:r>
      <w:r>
        <w:rPr>
          <w:rFonts w:hint="eastAsia" w:ascii="宋体" w:hAnsi="宋体" w:eastAsia="宋体" w:cs="宋体"/>
          <w:spacing w:val="-6"/>
          <w:sz w:val="24"/>
        </w:rPr>
        <w:t>进行公开询价采购。</w:t>
      </w:r>
      <w:r>
        <w:rPr>
          <w:rFonts w:hint="eastAsia" w:ascii="宋体" w:hAnsi="宋体" w:eastAsia="宋体" w:cs="宋体"/>
          <w:sz w:val="24"/>
        </w:rPr>
        <w:t>请供应商仔细阅读我方需求清单及询价注意事项，并提供一次性报价（不得更改）。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一、需求清单 </w:t>
      </w:r>
    </w:p>
    <w:p>
      <w:pPr>
        <w:spacing w:line="360" w:lineRule="auto"/>
        <w:ind w:left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每周进行一次日常检查。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每月进行一次常规检查。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</w:rPr>
        <w:t>每</w:t>
      </w:r>
      <w:r>
        <w:rPr>
          <w:rFonts w:hint="eastAsia" w:ascii="宋体" w:hAnsi="宋体" w:eastAsia="宋体" w:cs="宋体"/>
          <w:sz w:val="24"/>
          <w:lang w:val="en-US" w:eastAsia="zh-CN"/>
        </w:rPr>
        <w:t>半年</w:t>
      </w:r>
      <w:r>
        <w:rPr>
          <w:rFonts w:hint="eastAsia" w:ascii="宋体" w:hAnsi="宋体" w:eastAsia="宋体" w:cs="宋体"/>
          <w:sz w:val="24"/>
        </w:rPr>
        <w:t>一次对</w:t>
      </w:r>
      <w:r>
        <w:rPr>
          <w:rFonts w:hint="eastAsia" w:ascii="宋体" w:hAnsi="宋体" w:eastAsia="宋体" w:cs="宋体"/>
          <w:sz w:val="24"/>
          <w:lang w:val="en-US" w:eastAsia="zh-CN"/>
        </w:rPr>
        <w:t>消防各</w:t>
      </w:r>
      <w:r>
        <w:rPr>
          <w:rFonts w:hint="eastAsia" w:ascii="宋体" w:hAnsi="宋体" w:eastAsia="宋体" w:cs="宋体"/>
          <w:sz w:val="24"/>
        </w:rPr>
        <w:t>系统联动检查测试。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4</w:t>
      </w:r>
      <w:r>
        <w:rPr>
          <w:rFonts w:ascii="宋体" w:hAnsi="宋体" w:eastAsia="宋体" w:cs="宋体"/>
          <w:sz w:val="24"/>
        </w:rPr>
        <w:t>.</w:t>
      </w:r>
      <w:r>
        <w:rPr>
          <w:rFonts w:hint="eastAsia" w:ascii="宋体" w:hAnsi="宋体" w:eastAsia="宋体" w:cs="宋体"/>
          <w:sz w:val="24"/>
          <w:lang w:val="en-US" w:eastAsia="zh-CN"/>
        </w:rPr>
        <w:t>每年对学校消防设施设备</w:t>
      </w:r>
      <w:r>
        <w:rPr>
          <w:rFonts w:hint="eastAsia" w:ascii="宋体" w:hAnsi="宋体" w:eastAsia="宋体" w:cs="宋体"/>
          <w:sz w:val="24"/>
        </w:rPr>
        <w:t>进行一次全面检测及试验。检测及试验内容包括：火灾自动报警系统、消火栓灭火系统、消防广播、消防对讲系统、应急照明和疏散指示系统、喷淋、雨淋等系统、防火卷帘门系统、防排烟系统</w:t>
      </w:r>
      <w:r>
        <w:rPr>
          <w:rFonts w:ascii="宋体" w:hAnsi="宋体" w:eastAsia="宋体" w:cs="宋体"/>
          <w:sz w:val="24"/>
        </w:rPr>
        <w:t>-</w:t>
      </w:r>
      <w:r>
        <w:rPr>
          <w:rFonts w:hint="eastAsia" w:ascii="宋体" w:hAnsi="宋体" w:eastAsia="宋体" w:cs="宋体"/>
          <w:sz w:val="24"/>
        </w:rPr>
        <w:t>包括检测防排烟设备及防火阀的功能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对上述全面检查测试中发现的问题故障及时</w:t>
      </w:r>
      <w:r>
        <w:rPr>
          <w:rFonts w:hint="eastAsia" w:ascii="宋体" w:hAnsi="宋体" w:eastAsia="宋体" w:cs="宋体"/>
          <w:sz w:val="24"/>
          <w:lang w:val="en-US" w:eastAsia="zh-CN"/>
        </w:rPr>
        <w:t>报学校职能部门并协助</w:t>
      </w:r>
      <w:r>
        <w:rPr>
          <w:rFonts w:hint="eastAsia" w:ascii="宋体" w:hAnsi="宋体" w:eastAsia="宋体" w:cs="宋体"/>
          <w:sz w:val="24"/>
        </w:rPr>
        <w:t>解决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5、协助完成消防年度检测</w:t>
      </w:r>
      <w:r>
        <w:rPr>
          <w:rFonts w:hint="eastAsia" w:ascii="宋体" w:hAnsi="宋体" w:eastAsia="宋体" w:cs="宋体"/>
          <w:sz w:val="24"/>
        </w:rPr>
        <w:t>报告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6.协助</w:t>
      </w:r>
      <w:r>
        <w:rPr>
          <w:rFonts w:hint="eastAsia" w:ascii="宋体" w:hAnsi="宋体" w:eastAsia="宋体" w:cs="宋体"/>
          <w:sz w:val="24"/>
        </w:rPr>
        <w:t>学校</w:t>
      </w:r>
      <w:r>
        <w:rPr>
          <w:rFonts w:hint="eastAsia" w:ascii="宋体" w:hAnsi="宋体" w:eastAsia="宋体" w:cs="宋体"/>
          <w:sz w:val="24"/>
          <w:lang w:val="en-US" w:eastAsia="zh-CN"/>
        </w:rPr>
        <w:t>完成</w:t>
      </w:r>
      <w:r>
        <w:rPr>
          <w:rFonts w:hint="eastAsia" w:ascii="宋体" w:hAnsi="宋体" w:eastAsia="宋体" w:cs="宋体"/>
          <w:sz w:val="24"/>
        </w:rPr>
        <w:t>消防安全台账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消防安全培训、消防安全演练等工作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7.完成</w:t>
      </w:r>
      <w:r>
        <w:rPr>
          <w:rFonts w:ascii="宋体" w:hAnsi="宋体" w:eastAsia="宋体" w:cs="宋体"/>
          <w:sz w:val="24"/>
        </w:rPr>
        <w:t>消防安全年度评估</w:t>
      </w:r>
      <w:r>
        <w:rPr>
          <w:rFonts w:hint="eastAsia" w:ascii="宋体" w:hAnsi="宋体" w:eastAsia="宋体" w:cs="宋体"/>
          <w:sz w:val="24"/>
          <w:lang w:val="en-US" w:eastAsia="zh-CN"/>
        </w:rPr>
        <w:t>报告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>
      <w:pPr>
        <w:spacing w:line="360" w:lineRule="auto"/>
        <w:ind w:firstLine="42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其他商务要求：</w:t>
      </w:r>
      <w:r>
        <w:rPr>
          <w:rFonts w:hint="eastAsia" w:ascii="宋体" w:hAnsi="宋体"/>
          <w:sz w:val="24"/>
        </w:rPr>
        <w:t>参与维保施工人员必须具有作业人员上岗证书，设专人进行现场监管。</w:t>
      </w:r>
      <w:r>
        <w:rPr>
          <w:rFonts w:hint="eastAsia" w:ascii="宋体" w:hAnsi="宋体" w:eastAsia="宋体" w:cs="宋体"/>
          <w:sz w:val="24"/>
        </w:rPr>
        <w:t>乙方须配置1名充分了解甲方消防系统的工作人员，每周</w:t>
      </w:r>
      <w:r>
        <w:rPr>
          <w:rFonts w:hint="eastAsia" w:ascii="宋体" w:hAnsi="宋体" w:eastAsia="宋体" w:cs="宋体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</w:rPr>
        <w:t>、周</w:t>
      </w:r>
      <w:r>
        <w:rPr>
          <w:rFonts w:hint="eastAsia" w:ascii="宋体" w:hAnsi="宋体" w:eastAsia="宋体" w:cs="宋体"/>
          <w:sz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</w:rPr>
        <w:t>的8：30-16:30在</w:t>
      </w:r>
      <w:r>
        <w:rPr>
          <w:rFonts w:hint="eastAsia" w:ascii="宋体" w:hAnsi="宋体"/>
          <w:sz w:val="24"/>
        </w:rPr>
        <w:t>校开展消防设施维保工作，其余时间需保证通讯畅通，确保发生故障后</w:t>
      </w:r>
      <w:r>
        <w:rPr>
          <w:rFonts w:hint="eastAsia" w:ascii="宋体" w:hAnsi="宋体"/>
          <w:sz w:val="24"/>
          <w:lang w:val="en-US" w:eastAsia="zh-CN"/>
        </w:rPr>
        <w:t>及时修复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二、注意事项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1、供应商资格要求：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符合《政府采购法》要求，并且投标公司必须具有独立法人资格、具备相应产品经营资质、具有独立承担民事责任能力的专业机构，具有履行合同所必需的设备和专业技术能力。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2、询价总金额不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得</w:t>
      </w:r>
      <w:r>
        <w:rPr>
          <w:rFonts w:hint="eastAsia" w:ascii="宋体" w:hAnsi="宋体" w:eastAsia="宋体" w:cs="宋体"/>
          <w:kern w:val="0"/>
          <w:sz w:val="24"/>
        </w:rPr>
        <w:t>超过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人民币</w:t>
      </w:r>
      <w:r>
        <w:rPr>
          <w:rFonts w:hint="eastAsia" w:ascii="宋体" w:hAnsi="宋体" w:eastAsia="宋体" w:cs="宋体"/>
          <w:kern w:val="0"/>
          <w:sz w:val="24"/>
        </w:rPr>
        <w:t>1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万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元每年，合同服务期为贰年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3、询价投标文件的组成（须按以下顺序装订，分别加盖公章后</w:t>
      </w:r>
      <w:r>
        <w:rPr>
          <w:rFonts w:hint="eastAsia" w:ascii="宋体" w:hAnsi="宋体" w:eastAsia="宋体" w:cs="宋体"/>
          <w:b/>
          <w:kern w:val="0"/>
          <w:sz w:val="24"/>
          <w:u w:val="single"/>
        </w:rPr>
        <w:t>妥善密封</w:t>
      </w:r>
      <w:r>
        <w:rPr>
          <w:rFonts w:hint="eastAsia" w:ascii="宋体" w:hAnsi="宋体" w:eastAsia="宋体" w:cs="宋体"/>
          <w:kern w:val="0"/>
          <w:sz w:val="24"/>
        </w:rPr>
        <w:t>。资料提供不全或未密封可能会导致无效标）。供应商需提供材料：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（1）维保总报价一览表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（2）营业执照复印件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</w:rPr>
        <w:t>法定代表人授权委托书</w:t>
      </w:r>
    </w:p>
    <w:p>
      <w:pPr>
        <w:widowControl/>
        <w:numPr>
          <w:ilvl w:val="0"/>
          <w:numId w:val="0"/>
        </w:num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</w:rPr>
        <w:t>无重大违法记录承诺函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</w:rPr>
        <w:t>填报常用配件品牌型号价格表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hAnsi="宋体" w:eastAsia="宋体" w:cs="宋体"/>
          <w:kern w:val="0"/>
          <w:sz w:val="24"/>
          <w:lang w:val="en-US" w:eastAsia="zh-CN"/>
        </w:rPr>
        <w:t xml:space="preserve">  （6）项目设想与策划、消防维保检测、项目组织管理方案、消防培训和演练、配置人员培训奖惩方案、进退场方案等工作</w:t>
      </w:r>
    </w:p>
    <w:p>
      <w:pPr>
        <w:widowControl/>
        <w:spacing w:line="360" w:lineRule="auto"/>
        <w:ind w:firstLine="240" w:firstLineChars="1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</w:rPr>
        <w:t>响应供应商认为有必要提供的其他资料</w:t>
      </w:r>
    </w:p>
    <w:p>
      <w:pPr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4、乙方派驻甲方的维保工作人员需经过甲方组织的面试，面试者与派驻者必须为同一人。</w:t>
      </w:r>
      <w:r>
        <w:rPr>
          <w:rFonts w:hint="eastAsia" w:ascii="宋体" w:hAnsi="宋体" w:eastAsia="宋体" w:cs="宋体"/>
          <w:b/>
          <w:kern w:val="0"/>
          <w:sz w:val="24"/>
        </w:rPr>
        <w:t>面试未通过的人员，甲方不接受其公司报价。</w:t>
      </w:r>
      <w:r>
        <w:rPr>
          <w:rFonts w:hint="eastAsia" w:ascii="宋体" w:hAnsi="宋体" w:eastAsia="宋体" w:cs="宋体"/>
          <w:kern w:val="0"/>
          <w:sz w:val="24"/>
        </w:rPr>
        <w:t>具体面试时间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和要求</w:t>
      </w:r>
      <w:r>
        <w:rPr>
          <w:rFonts w:hint="eastAsia" w:ascii="宋体" w:hAnsi="宋体" w:eastAsia="宋体" w:cs="宋体"/>
          <w:kern w:val="0"/>
          <w:sz w:val="24"/>
        </w:rPr>
        <w:t>等甲方另行通知。</w:t>
      </w:r>
      <w:r>
        <w:rPr>
          <w:rFonts w:hint="eastAsia" w:ascii="宋体" w:hAnsi="宋体" w:eastAsia="宋体" w:cs="宋体"/>
          <w:b/>
          <w:kern w:val="0"/>
          <w:sz w:val="24"/>
        </w:rPr>
        <w:t>通过甲方面试且</w:t>
      </w:r>
      <w:r>
        <w:rPr>
          <w:rFonts w:hint="eastAsia" w:ascii="宋体" w:hAnsi="宋体" w:eastAsia="宋体" w:cs="宋体"/>
          <w:b/>
          <w:kern w:val="0"/>
          <w:sz w:val="24"/>
          <w:lang w:val="en-US" w:eastAsia="zh-CN"/>
        </w:rPr>
        <w:t>综合</w:t>
      </w:r>
      <w:r>
        <w:rPr>
          <w:rFonts w:hint="eastAsia" w:ascii="宋体" w:hAnsi="宋体" w:eastAsia="宋体" w:cs="宋体"/>
          <w:b/>
          <w:kern w:val="0"/>
          <w:sz w:val="24"/>
        </w:rPr>
        <w:t>得分最高的</w:t>
      </w:r>
      <w:r>
        <w:rPr>
          <w:rFonts w:hint="eastAsia" w:ascii="宋体" w:hAnsi="宋体" w:eastAsia="宋体" w:cs="宋体"/>
          <w:b/>
          <w:kern w:val="0"/>
          <w:sz w:val="24"/>
          <w:lang w:val="en-US" w:eastAsia="zh-CN"/>
        </w:rPr>
        <w:t>单位</w:t>
      </w:r>
      <w:r>
        <w:rPr>
          <w:rFonts w:hint="eastAsia" w:ascii="宋体" w:hAnsi="宋体" w:eastAsia="宋体" w:cs="宋体"/>
          <w:b/>
          <w:kern w:val="0"/>
          <w:sz w:val="24"/>
        </w:rPr>
        <w:t>为中标单位。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5、询价方式及成交：投标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单位</w:t>
      </w:r>
      <w:r>
        <w:rPr>
          <w:rFonts w:hint="eastAsia" w:ascii="宋体" w:hAnsi="宋体" w:eastAsia="宋体" w:cs="宋体"/>
          <w:kern w:val="0"/>
          <w:sz w:val="24"/>
        </w:rPr>
        <w:t>应在</w:t>
      </w:r>
      <w:r>
        <w:rPr>
          <w:rFonts w:hint="eastAsia" w:ascii="宋体" w:hAnsi="宋体" w:eastAsia="宋体" w:cs="宋体"/>
          <w:b/>
          <w:kern w:val="0"/>
          <w:sz w:val="24"/>
          <w:u w:val="single"/>
        </w:rPr>
        <w:t>询价公告发布后</w:t>
      </w:r>
      <w:r>
        <w:rPr>
          <w:rFonts w:hint="eastAsia" w:ascii="宋体" w:hAnsi="宋体" w:eastAsia="宋体" w:cs="宋体"/>
          <w:b/>
          <w:kern w:val="0"/>
          <w:sz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b/>
          <w:kern w:val="0"/>
          <w:sz w:val="24"/>
          <w:u w:val="single"/>
        </w:rPr>
        <w:t>个工作日内</w:t>
      </w:r>
      <w:r>
        <w:rPr>
          <w:rFonts w:hint="eastAsia" w:ascii="宋体" w:hAnsi="宋体" w:eastAsia="宋体" w:cs="宋体"/>
          <w:kern w:val="0"/>
          <w:sz w:val="24"/>
        </w:rPr>
        <w:t>将询价投标文件送至学校保卫处，</w:t>
      </w:r>
      <w:r>
        <w:rPr>
          <w:rFonts w:hint="eastAsia" w:ascii="宋体" w:hAnsi="宋体" w:eastAsia="宋体" w:cs="宋体"/>
          <w:b/>
          <w:bCs/>
          <w:sz w:val="24"/>
        </w:rPr>
        <w:t>学校按照面试结果组织统一开标</w:t>
      </w:r>
      <w:r>
        <w:rPr>
          <w:rFonts w:hint="eastAsia" w:ascii="宋体" w:hAnsi="宋体" w:eastAsia="宋体" w:cs="宋体"/>
          <w:kern w:val="0"/>
          <w:sz w:val="24"/>
        </w:rPr>
        <w:t>。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成交报价综合</w:t>
      </w:r>
      <w:r>
        <w:rPr>
          <w:rFonts w:hint="eastAsia" w:ascii="宋体" w:hAnsi="宋体" w:eastAsia="宋体" w:cs="宋体"/>
          <w:kern w:val="0"/>
          <w:sz w:val="24"/>
        </w:rPr>
        <w:t>满分为100分=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投标文件响应程度</w:t>
      </w:r>
      <w:r>
        <w:rPr>
          <w:rFonts w:hint="eastAsia" w:ascii="宋体" w:hAnsi="宋体" w:eastAsia="宋体" w:cs="宋体"/>
          <w:kern w:val="0"/>
          <w:sz w:val="24"/>
        </w:rPr>
        <w:t>占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</w:rPr>
        <w:t>0%+常用配件报价占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</w:rPr>
        <w:t>0%+维保总报价占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</w:rPr>
        <w:t>0%，得分最高者为成交商。中标单位确定后，由我校电话通知。</w:t>
      </w:r>
      <w:r>
        <w:rPr>
          <w:rFonts w:hint="eastAsia" w:ascii="宋体" w:hAnsi="宋体" w:eastAsia="宋体" w:cs="宋体"/>
          <w:b/>
          <w:kern w:val="0"/>
          <w:sz w:val="24"/>
        </w:rPr>
        <w:t>投标文件送至：浙江省杭州市滨江区滨文路518号 浙江艺术职业学院保卫处</w:t>
      </w:r>
      <w:r>
        <w:rPr>
          <w:rFonts w:hint="eastAsia" w:ascii="宋体" w:hAnsi="宋体" w:eastAsia="宋体" w:cs="宋体"/>
          <w:b/>
          <w:kern w:val="0"/>
          <w:sz w:val="24"/>
          <w:lang w:val="en-US" w:eastAsia="zh-CN"/>
        </w:rPr>
        <w:t xml:space="preserve">  行政楼1104室 </w:t>
      </w:r>
      <w:r>
        <w:rPr>
          <w:rFonts w:hint="eastAsia" w:ascii="宋体" w:hAnsi="宋体" w:eastAsia="宋体" w:cs="宋体"/>
          <w:b/>
          <w:kern w:val="0"/>
          <w:sz w:val="24"/>
        </w:rPr>
        <w:t xml:space="preserve"> 王老师 0571-87150077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6、如对本次询价有疑问，可电话进行联系，联系人：王老师 电话：0571-8715</w:t>
      </w:r>
      <w:r>
        <w:rPr>
          <w:rFonts w:ascii="宋体" w:hAnsi="宋体" w:eastAsia="宋体" w:cs="宋体"/>
          <w:kern w:val="0"/>
          <w:sz w:val="24"/>
        </w:rPr>
        <w:t>0077</w:t>
      </w:r>
      <w:r>
        <w:rPr>
          <w:rFonts w:hint="eastAsia" w:ascii="宋体" w:hAnsi="宋体" w:eastAsia="宋体" w:cs="宋体"/>
          <w:kern w:val="0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7、报价单请务必注明详细规格型号、联系人及电话并加盖公章；同时请在信封上分别注明供应商名称、联系人及电话，以上项目不得缺项。型号停产更改务必请报价前联系。 </w:t>
      </w:r>
    </w:p>
    <w:p>
      <w:pPr>
        <w:spacing w:line="360" w:lineRule="auto"/>
        <w:ind w:firstLine="42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三、询价评审细则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根据合同相关要求，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lang w:val="en-US" w:eastAsia="zh-CN"/>
        </w:rPr>
        <w:t>项目采用综合评分法（总分100分）=投标文件响应程度占70%+常用配件报价占10%+维保总报价占20%。对各供应商的投标文件响应程度、常用配件报价、维保总报价等评分因素在分值范围内进行评分。每个供应商最终得分=投标文件响应程度+常用配件报价+维保总报价等内容分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（一）投标文件响应（70分）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1.投标人资质比较：10分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投标公司必须具有独立法人资格、具备相应产品经营资质、具有独立承担民事责任能力的专业机构，具有履行合同所必需的设备和专业技术能力。营业执照复印件，法定代表人授权委托书，无重大违法记录承诺函。</w:t>
      </w:r>
      <w:r>
        <w:rPr>
          <w:rFonts w:hint="eastAsia" w:ascii="宋体" w:hAnsi="宋体" w:eastAsia="宋体" w:cs="宋体"/>
          <w:kern w:val="0"/>
          <w:sz w:val="24"/>
        </w:rPr>
        <w:t>供应商认为有必要提供的其他资料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lang w:val="en-US" w:eastAsia="zh-CN"/>
        </w:rPr>
        <w:t>提供齐全得10分，最高10分，提供不全得0分。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2.整体设想与策划：10分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针对本项目特点和需求进行对项目的定位、服务理念、管理思路及重点难点进行分析比较。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方案的合理性、完善性、规范性、清晰性、可操作性较好的得10分；方案合理性、完善性、规范性、清晰性、可操作性一般的得6分；方案合理性、完善性、规范性、清晰性、可操作性有缺项的得4分；无相关内容得0分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3.维保和突击抢修等设施方案:10分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实施服务内容及措施比较：方案的合理性、完善性、规范性、清晰性、可操作性较好的得10分；方案合理性、完善性、规范性、清晰性、可操作性一般的得6分；方案合理性、完善性、规范性、清晰性、可操作性有缺项的得4分；无相关内容得0分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4.项目组织管理方案:10分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管理组织架构合理，管理制度比较：包含项目配置的维保人员数量和资质，单位管理规章制度等比较。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方案的合理性、完善性、规范性、清晰性、可操作性较好的得10分；方案合理性、完善性、规范性、清晰性、可操作性一般的得6分；方案合理性、完善性、规范性、清晰性、可操作性有缺项的得4分；无相关内容得0分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5.消防安全培训、演练方案：10分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方案的合理性、完善性、规范性、清晰性、可操作性较好的得10分；方案合理性、完善性、规范性、清晰性、可操作性一般的得6分；方案合理性、完善性、规范性、清晰性、可操作性有缺项的得4分；无相关内容得0分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6.内部培训、考核及奖惩，该项满分为：5分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项目配置人员的培训、考核及奖惩方案的针对性、完善性、规范性、清晰性、可操作性进行打分。方案设置合理、完善、规范、清晰、针对性及可操作性强的得5分；方案针对性、可操作性一般的得3分；方案针对性、可操作性较差的得1分；无相关内容得0分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7.进退场交接及配合校方的方案比较：10分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方案的合理性、完善性、规范性、清晰性、可操作性较好的得10分；方案合理性、完善性、规范性、清晰性、可操作性一般的得6分；方案合理性、完善性、规范性、清晰性、可操作性有缺项的得4分；无相关内容得0分。</w:t>
      </w:r>
    </w:p>
    <w:p>
      <w:pPr>
        <w:spacing w:line="360" w:lineRule="auto"/>
        <w:ind w:firstLine="42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8.同类项目服务经验比较：5分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2021年1月1日至今全省高校消防维保服务项目合同业绩，每提供一份合同复印件得1分，最高5分。投标文件中提供合同首页、金额页、盖章页及上述有效性评判时所需的关键页的复印件。</w:t>
      </w:r>
    </w:p>
    <w:p>
      <w:pPr>
        <w:spacing w:line="360" w:lineRule="auto"/>
        <w:ind w:firstLine="42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（二）常用配件报价（10分）</w:t>
      </w:r>
    </w:p>
    <w:p>
      <w:pPr>
        <w:spacing w:line="360" w:lineRule="auto"/>
        <w:ind w:firstLine="42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常用配件报价评分在20个配件内进行，最高得10分，最低的0分。统计各供应商报价，以每个常用配件价格平均价格为基准价，单个配件价格低于基准价得0.5分，等于或高于基准价不得分。</w:t>
      </w:r>
    </w:p>
    <w:p>
      <w:pPr>
        <w:spacing w:line="400" w:lineRule="exac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常用配件品牌型号价格表</w:t>
      </w:r>
    </w:p>
    <w:tbl>
      <w:tblPr>
        <w:tblStyle w:val="8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3103"/>
        <w:gridCol w:w="844"/>
        <w:gridCol w:w="919"/>
        <w:gridCol w:w="1875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序号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配件名称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数量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单价（元）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备注（品牌）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感烟火灾探测器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只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感温火灾探测器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只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手动报警按钮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只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集中控制器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楼层显示器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个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声光报警器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只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输入模块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只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输出模块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只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输入输出模块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只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显示驱动板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块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系统集成控制板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块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集中工作电源蓄电池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节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12V/24AH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总线隔离器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回路板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块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切换模块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个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终端模块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个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编码声光报警器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个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18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编码消防广播模块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个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编码消火栓按钮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个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 w:eastAsiaTheme="minorEastAsia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主机主板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块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松江、海湾</w:t>
            </w:r>
          </w:p>
        </w:tc>
      </w:tr>
    </w:tbl>
    <w:p>
      <w:pPr>
        <w:jc w:val="left"/>
        <w:rPr>
          <w:rFonts w:hint="eastAsia" w:ascii="黑体" w:hAnsi="黑体" w:eastAsia="黑体" w:cs="宋体"/>
          <w:bCs/>
          <w:color w:val="000000"/>
          <w:kern w:val="0"/>
          <w:sz w:val="28"/>
          <w:szCs w:val="36"/>
        </w:rPr>
      </w:pPr>
    </w:p>
    <w:p>
      <w:pPr>
        <w:spacing w:line="360" w:lineRule="auto"/>
        <w:ind w:firstLine="420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（三）维保总价格部分（20分）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价格评分将在有效响应文件范围内进行，最高得20分，最低得0分。满足需求内容且最终报价最低的供应商的价格为基准价，其价格分为满分。其他供应商的价格分统一按照下列公式计算：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投标报价得分=(基准价／最终报价)×100×20%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OTBmNDY2ZDI0OWFhNjAyZDJmMDg3NTZkNzIwOTgifQ=="/>
  </w:docVars>
  <w:rsids>
    <w:rsidRoot w:val="3D05688E"/>
    <w:rsid w:val="000A64E5"/>
    <w:rsid w:val="003419A5"/>
    <w:rsid w:val="00453193"/>
    <w:rsid w:val="0049723A"/>
    <w:rsid w:val="005B3AF0"/>
    <w:rsid w:val="005E7358"/>
    <w:rsid w:val="006D7B2D"/>
    <w:rsid w:val="00707ECA"/>
    <w:rsid w:val="007E4D60"/>
    <w:rsid w:val="007F52CD"/>
    <w:rsid w:val="008C7B28"/>
    <w:rsid w:val="008D0789"/>
    <w:rsid w:val="009C7D36"/>
    <w:rsid w:val="00AC0B41"/>
    <w:rsid w:val="00AC1C87"/>
    <w:rsid w:val="00B02568"/>
    <w:rsid w:val="00B42068"/>
    <w:rsid w:val="00BE5BE2"/>
    <w:rsid w:val="00C82381"/>
    <w:rsid w:val="00CF2945"/>
    <w:rsid w:val="00DC05EC"/>
    <w:rsid w:val="00E15189"/>
    <w:rsid w:val="00F84D39"/>
    <w:rsid w:val="04A2487D"/>
    <w:rsid w:val="06AF0496"/>
    <w:rsid w:val="06DA21CC"/>
    <w:rsid w:val="1C977D04"/>
    <w:rsid w:val="1E325360"/>
    <w:rsid w:val="204F0A06"/>
    <w:rsid w:val="2A144A92"/>
    <w:rsid w:val="2B06379A"/>
    <w:rsid w:val="2D7D7E68"/>
    <w:rsid w:val="2EF0478F"/>
    <w:rsid w:val="345F1616"/>
    <w:rsid w:val="3D05688E"/>
    <w:rsid w:val="3EA25719"/>
    <w:rsid w:val="3F94129F"/>
    <w:rsid w:val="41625A49"/>
    <w:rsid w:val="41946660"/>
    <w:rsid w:val="472B16EF"/>
    <w:rsid w:val="4C437385"/>
    <w:rsid w:val="5DA84693"/>
    <w:rsid w:val="78C7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</w:pPr>
    <w:rPr>
      <w:rFonts w:ascii="宋体" w:hAnsi="Courier New"/>
      <w:kern w:val="0"/>
    </w:rPr>
  </w:style>
  <w:style w:type="paragraph" w:styleId="4">
    <w:name w:val="Body Text Indent 2"/>
    <w:basedOn w:val="1"/>
    <w:qFormat/>
    <w:uiPriority w:val="0"/>
    <w:pPr>
      <w:widowControl/>
      <w:spacing w:line="480" w:lineRule="atLeast"/>
      <w:ind w:firstLine="480"/>
    </w:pPr>
    <w:rPr>
      <w:rFonts w:ascii="宋体"/>
      <w:kern w:val="0"/>
      <w:sz w:val="24"/>
      <w:szCs w:val="20"/>
    </w:rPr>
  </w:style>
  <w:style w:type="paragraph" w:styleId="5">
    <w:name w:val="Balloon Text"/>
    <w:basedOn w:val="1"/>
    <w:link w:val="15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b/>
      <w:b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basedOn w:val="9"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6">
    <w:name w:val="No Spacing"/>
    <w:qFormat/>
    <w:uiPriority w:val="1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2845</Words>
  <Characters>2966</Characters>
  <Lines>8</Lines>
  <Paragraphs>2</Paragraphs>
  <TotalTime>23</TotalTime>
  <ScaleCrop>false</ScaleCrop>
  <LinksUpToDate>false</LinksUpToDate>
  <CharactersWithSpaces>2977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2021-07-02T06:21:00Z</dcterms:created>
  <dc:creator>董小烈</dc:creator>
  <cp:lastModifiedBy>张志扬</cp:lastModifiedBy>
  <cp:lastPrinted>2021-07-02T07:29:00Z</cp:lastPrinted>
  <dcterms:modified xsi:type="dcterms:W3CDTF">2023-07-15T02:12:06Z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4DD6FFE8AFA244A193C6A9D754E20CE1</vt:lpwstr>
  </property>
</Properties>
</file>